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385" w:rsidRDefault="00651385" w:rsidP="00651385">
      <w:pPr>
        <w:pStyle w:val="H1"/>
        <w:rPr>
          <w:rFonts w:ascii="Calibri" w:hAnsi="Calibri" w:cs="Calibri"/>
        </w:rPr>
      </w:pPr>
      <w:bookmarkStart w:id="0" w:name="_Toc220505143"/>
      <w:bookmarkStart w:id="1" w:name="_Hlk106806992"/>
      <w:r w:rsidRPr="008D331B">
        <w:rPr>
          <w:rFonts w:ascii="Calibri" w:hAnsi="Calibri" w:cs="Calibri"/>
        </w:rPr>
        <w:t>Infection Control Policy</w:t>
      </w:r>
      <w:bookmarkEnd w:id="0"/>
    </w:p>
    <w:p w:rsidR="00651385" w:rsidRPr="008D331B" w:rsidRDefault="00651385" w:rsidP="00651385">
      <w:pPr>
        <w:jc w:val="both"/>
        <w:rPr>
          <w:rFonts w:ascii="Calibri" w:hAnsi="Calibri" w:cs="Calibri"/>
        </w:rPr>
      </w:pPr>
    </w:p>
    <w:p w:rsidR="00651385" w:rsidRPr="008D331B" w:rsidRDefault="00651385" w:rsidP="00651385">
      <w:pPr>
        <w:jc w:val="both"/>
        <w:rPr>
          <w:rFonts w:ascii="Calibri" w:hAnsi="Calibri" w:cs="Calibri"/>
        </w:rPr>
      </w:pPr>
      <w:r w:rsidRPr="008D331B">
        <w:rPr>
          <w:rFonts w:ascii="Calibri" w:hAnsi="Calibri" w:cs="Calibri"/>
        </w:rPr>
        <w:t xml:space="preserve">At </w:t>
      </w:r>
      <w:r w:rsidR="00EC7A1A">
        <w:rPr>
          <w:rFonts w:ascii="Calibri" w:hAnsi="Calibri" w:cs="Calibri"/>
          <w:b/>
        </w:rPr>
        <w:t>Fun Box Day Nursery</w:t>
      </w:r>
      <w:r w:rsidRPr="008D331B">
        <w:rPr>
          <w:rFonts w:ascii="Calibri" w:hAnsi="Calibri" w:cs="Calibri"/>
        </w:rPr>
        <w:t xml:space="preserve"> we promote the good health of all children attending (including oral health) through maintaining high hygiene standards to help reduce the chances of infection being spread. We </w:t>
      </w:r>
      <w:r w:rsidR="004B70D2">
        <w:rPr>
          <w:rFonts w:ascii="Calibri" w:hAnsi="Calibri" w:cs="Calibri"/>
        </w:rPr>
        <w:t xml:space="preserve">take into consideration </w:t>
      </w:r>
      <w:r w:rsidRPr="008D331B">
        <w:rPr>
          <w:rFonts w:ascii="Calibri" w:hAnsi="Calibri" w:cs="Calibri"/>
        </w:rPr>
        <w:t>the health protection in schools and other childcare facilities guidance</w:t>
      </w:r>
      <w:r w:rsidRPr="008D331B">
        <w:rPr>
          <w:rStyle w:val="FootnoteReference"/>
          <w:rFonts w:ascii="Calibri" w:hAnsi="Calibri" w:cs="Calibri"/>
        </w:rPr>
        <w:footnoteReference w:id="2"/>
      </w:r>
      <w:r w:rsidRPr="008D331B">
        <w:rPr>
          <w:rFonts w:ascii="Calibri" w:hAnsi="Calibri" w:cs="Calibri"/>
        </w:rPr>
        <w:t xml:space="preserve"> which sets out when and how long children nee</w:t>
      </w:r>
      <w:r w:rsidR="004B70D2">
        <w:rPr>
          <w:rFonts w:ascii="Calibri" w:hAnsi="Calibri" w:cs="Calibri"/>
        </w:rPr>
        <w:t xml:space="preserve">d to be excluded from settings but also reserve the right to refuse attendance for children if they are unwell of if the illness they present with can pose significant risk of spreading or </w:t>
      </w:r>
      <w:r w:rsidRPr="008D331B">
        <w:rPr>
          <w:rFonts w:ascii="Calibri" w:hAnsi="Calibri" w:cs="Calibri"/>
        </w:rPr>
        <w:t xml:space="preserve">when treatment and/or medication is required and where to get further advice from. </w:t>
      </w:r>
    </w:p>
    <w:p w:rsidR="00651385" w:rsidRPr="008D331B" w:rsidRDefault="00651385" w:rsidP="00651385">
      <w:pPr>
        <w:jc w:val="both"/>
        <w:rPr>
          <w:rFonts w:ascii="Calibri" w:hAnsi="Calibri" w:cs="Calibri"/>
        </w:rPr>
      </w:pPr>
    </w:p>
    <w:p w:rsidR="00651385" w:rsidRPr="008D331B" w:rsidRDefault="00651385" w:rsidP="00651385">
      <w:pPr>
        <w:jc w:val="both"/>
        <w:rPr>
          <w:rFonts w:ascii="Calibri" w:hAnsi="Calibri" w:cs="Calibri"/>
        </w:rPr>
      </w:pPr>
      <w:r w:rsidRPr="008D331B">
        <w:rPr>
          <w:rFonts w:ascii="Calibri" w:hAnsi="Calibri" w:cs="Calibri"/>
        </w:rPr>
        <w:t>Viruses and infections can be easily passed from person to person by breathing in air containing the virus, which is produced when an infected person talks, coughs or sneezes. It can also spread through hand and face contact after touching a person or surface contaminated with viruses.</w:t>
      </w:r>
    </w:p>
    <w:p w:rsidR="00651385" w:rsidRPr="008D331B" w:rsidRDefault="00651385" w:rsidP="00651385">
      <w:pPr>
        <w:jc w:val="both"/>
        <w:rPr>
          <w:rFonts w:ascii="Calibri" w:hAnsi="Calibri" w:cs="Calibri"/>
        </w:rPr>
      </w:pPr>
    </w:p>
    <w:p w:rsidR="00651385" w:rsidRPr="008D331B" w:rsidRDefault="00651385" w:rsidP="00651385">
      <w:pPr>
        <w:jc w:val="both"/>
        <w:rPr>
          <w:rFonts w:ascii="Calibri" w:hAnsi="Calibri" w:cs="Calibri"/>
        </w:rPr>
      </w:pPr>
      <w:r w:rsidRPr="008D331B">
        <w:rPr>
          <w:rFonts w:ascii="Calibri" w:hAnsi="Calibri" w:cs="Calibri"/>
        </w:rPr>
        <w:t xml:space="preserve">We follow the guidance below to prevent a virus or infection from spreading around the nursery. </w:t>
      </w:r>
    </w:p>
    <w:p w:rsidR="00651385" w:rsidRPr="008D331B" w:rsidRDefault="00651385" w:rsidP="00651385">
      <w:pPr>
        <w:jc w:val="both"/>
        <w:rPr>
          <w:rFonts w:ascii="Calibri" w:hAnsi="Calibri" w:cs="Calibri"/>
        </w:rPr>
      </w:pPr>
    </w:p>
    <w:p w:rsidR="00651385" w:rsidRPr="008D331B" w:rsidRDefault="00651385" w:rsidP="00651385">
      <w:pPr>
        <w:jc w:val="both"/>
        <w:rPr>
          <w:rFonts w:ascii="Calibri" w:hAnsi="Calibri" w:cs="Calibri"/>
        </w:rPr>
      </w:pPr>
      <w:r w:rsidRPr="008D331B">
        <w:rPr>
          <w:rFonts w:ascii="Calibri" w:hAnsi="Calibri" w:cs="Calibri"/>
        </w:rPr>
        <w:t>Our staff:</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Encourage all children to use tissues when coughing and sneezing to catch germs</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Ensure all tissues are disposed of in a hygienic way and all children and staff wash their hands once the tissue is disposed of</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 xml:space="preserve">Develop children’s understanding of the above and the need for good hygiene procedures in helping them to stay healthy </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 xml:space="preserve">Wear the appropriate Personal Protective Equipment (PPE) when changing nappies, toileting children and dealing with any other bodily fluids. Staff are requested to dispose of these in the appropriate manner and wash hands immediately </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Clean and sterilise all potties and changing mats before and after each use</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Clean toilets at least daily and check them throughout the day</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Remind children to wash their hands before eating, after visiting the toilet, playing outside or being in contact with any animal and explain the reasons for this</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Clean all toys, equipment and resources on a regular basis using antibacterial cleanser, or through washing in the washing machine</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 xml:space="preserve">Wash or clean all equipment used by babies and toddlers </w:t>
      </w:r>
      <w:r w:rsidR="004B70D2">
        <w:rPr>
          <w:rFonts w:ascii="Calibri" w:hAnsi="Calibri" w:cs="Calibri"/>
        </w:rPr>
        <w:t>daily</w:t>
      </w:r>
      <w:r w:rsidRPr="008D331B">
        <w:rPr>
          <w:rFonts w:ascii="Calibri" w:hAnsi="Calibri" w:cs="Calibri"/>
        </w:rPr>
        <w:t xml:space="preserve">, including when the children have placed it in their mouth </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Store dummies in individual hygienic dummy boxes labelled with the child’s name to prevent cross-contamination with other children</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 xml:space="preserve">Store toothbrushes (where applicable) hygienically to prevent cross-contamination  </w:t>
      </w:r>
    </w:p>
    <w:p w:rsidR="00651385" w:rsidRPr="008D331B" w:rsidRDefault="00651385" w:rsidP="00651385">
      <w:pPr>
        <w:numPr>
          <w:ilvl w:val="0"/>
          <w:numId w:val="12"/>
        </w:numPr>
        <w:jc w:val="both"/>
        <w:rPr>
          <w:rFonts w:ascii="Calibri" w:hAnsi="Calibri" w:cs="Calibri"/>
        </w:rPr>
      </w:pPr>
      <w:r w:rsidRPr="008D331B">
        <w:rPr>
          <w:rFonts w:ascii="Calibri" w:hAnsi="Calibri" w:cs="Calibri"/>
        </w:rPr>
        <w:lastRenderedPageBreak/>
        <w:t xml:space="preserve">Immediately clean and sterilise (where necessary) any dummy or bottle that falls on the floor or is picked up by another child </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 xml:space="preserve">Provide labelled individual bedding for children that is not used by any other child and wash this at least once a week </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Ask parents and visitors to remove all outdoor footwear, or use shoe covers, when entering rooms where children may be crawling or sitting on the floor</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Where applicable wear specific indoor shoes or slippers whilst inside the rooms and make sure that children wear them as well</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Follow the Sickness and illness policy when children are ill to prevent the spread of any infection in the nursery. Staff are also requested to stay at home if they are ill and/or are contagious.</w:t>
      </w:r>
    </w:p>
    <w:p w:rsidR="00651385" w:rsidRPr="008D331B" w:rsidRDefault="00651385" w:rsidP="00651385">
      <w:pPr>
        <w:ind w:left="720" w:hanging="720"/>
        <w:jc w:val="both"/>
        <w:rPr>
          <w:rFonts w:ascii="Calibri" w:hAnsi="Calibri" w:cs="Calibri"/>
        </w:rPr>
      </w:pPr>
    </w:p>
    <w:p w:rsidR="00651385" w:rsidRPr="008D331B" w:rsidRDefault="00651385" w:rsidP="00651385">
      <w:pPr>
        <w:ind w:left="720" w:hanging="720"/>
        <w:jc w:val="both"/>
        <w:rPr>
          <w:rFonts w:ascii="Calibri" w:hAnsi="Calibri" w:cs="Calibri"/>
        </w:rPr>
      </w:pPr>
      <w:r w:rsidRPr="008D331B">
        <w:rPr>
          <w:rFonts w:ascii="Calibri" w:hAnsi="Calibri" w:cs="Calibri"/>
        </w:rPr>
        <w:t>In addition:</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 xml:space="preserve">The nursery manager retains the right of refusal of all children, parents, carers, staff and visitors who are deemed contagious and may impact on the welfare of the rest of the nursery </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 xml:space="preserve">Parents will be made aware of the need for these procedures in order for them to follow these guidelines whilst in the nursery </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Periodically each room in the nursery will be deep cleaned including carpets and soft furnishings to ensure the spread of infection is limited. This will be implemented earlier if the need arises</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In the event of an infection outbreak the nursery will, where appropriate, undertake a deep clean to ensure the spread of infection is contained</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 xml:space="preserve">We will follow Government health guidance, as well as seeking legal advice and information from our insurers, on any national outbreak of a virus and/or pandemic and keep parents informed of any course of action. Each specific circumstance will differ and to ensure we take the most appropriate action; we will treat each case on an individual basis </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 xml:space="preserve">In addition, where contagious outbreaks occur, we will adopt Government guidance for all visitors to minimise the risk of further spreading of the infection </w:t>
      </w:r>
    </w:p>
    <w:p w:rsidR="00651385" w:rsidRPr="008D331B" w:rsidRDefault="00651385" w:rsidP="00651385">
      <w:pPr>
        <w:numPr>
          <w:ilvl w:val="0"/>
          <w:numId w:val="12"/>
        </w:numPr>
        <w:jc w:val="both"/>
        <w:rPr>
          <w:rFonts w:ascii="Calibri" w:hAnsi="Calibri" w:cs="Calibri"/>
        </w:rPr>
      </w:pPr>
      <w:r w:rsidRPr="008D331B">
        <w:rPr>
          <w:rFonts w:ascii="Calibri" w:hAnsi="Calibri" w:cs="Calibri"/>
        </w:rPr>
        <w:t>The nursery will ensure stocks of tissues, hand washing equipment, cleaning materials and sterilising fluid are maintained at all times. These will be increased during the winter months, or when flu and cold germs are circulating.</w:t>
      </w:r>
    </w:p>
    <w:p w:rsidR="00651385" w:rsidRDefault="00651385" w:rsidP="00651385">
      <w:pPr>
        <w:ind w:left="720"/>
        <w:jc w:val="both"/>
        <w:rPr>
          <w:rFonts w:ascii="Calibri" w:hAnsi="Calibri" w:cs="Calibri"/>
        </w:rPr>
      </w:pPr>
    </w:p>
    <w:p w:rsidR="004B70D2" w:rsidRDefault="004B70D2" w:rsidP="004B70D2">
      <w:pPr>
        <w:pStyle w:val="Heading2"/>
        <w:rPr>
          <w:rFonts w:asciiTheme="minorHAnsi" w:hAnsiTheme="minorHAnsi" w:cstheme="minorHAnsi"/>
          <w:sz w:val="24"/>
          <w:szCs w:val="24"/>
        </w:rPr>
      </w:pPr>
    </w:p>
    <w:p w:rsidR="004B70D2" w:rsidRDefault="004B70D2" w:rsidP="004B70D2">
      <w:pPr>
        <w:pStyle w:val="Heading2"/>
        <w:rPr>
          <w:rFonts w:asciiTheme="minorHAnsi" w:hAnsiTheme="minorHAnsi" w:cstheme="minorHAnsi"/>
          <w:sz w:val="24"/>
          <w:szCs w:val="24"/>
        </w:rPr>
      </w:pPr>
    </w:p>
    <w:p w:rsidR="004B70D2" w:rsidRPr="004B70D2" w:rsidRDefault="004B70D2" w:rsidP="004B70D2"/>
    <w:p w:rsidR="004B70D2" w:rsidRPr="004B70D2" w:rsidRDefault="004B70D2" w:rsidP="004B70D2">
      <w:pPr>
        <w:pStyle w:val="Heading2"/>
        <w:rPr>
          <w:rFonts w:asciiTheme="minorHAnsi" w:hAnsiTheme="minorHAnsi" w:cstheme="minorHAnsi"/>
          <w:b/>
          <w:color w:val="auto"/>
          <w:sz w:val="24"/>
          <w:szCs w:val="24"/>
        </w:rPr>
      </w:pPr>
      <w:r w:rsidRPr="004B70D2">
        <w:rPr>
          <w:rFonts w:asciiTheme="minorHAnsi" w:hAnsiTheme="minorHAnsi" w:cstheme="minorHAnsi"/>
          <w:b/>
          <w:color w:val="auto"/>
          <w:sz w:val="24"/>
          <w:szCs w:val="24"/>
        </w:rPr>
        <w:lastRenderedPageBreak/>
        <w:t>Exclusion table</w:t>
      </w:r>
    </w:p>
    <w:p w:rsidR="004B70D2" w:rsidRPr="004B70D2" w:rsidRDefault="004B70D2" w:rsidP="004B70D2">
      <w:pPr>
        <w:pStyle w:val="NormalWeb"/>
        <w:rPr>
          <w:rFonts w:asciiTheme="minorHAnsi" w:hAnsiTheme="minorHAnsi" w:cstheme="minorHAnsi"/>
          <w:sz w:val="24"/>
          <w:szCs w:val="24"/>
        </w:rPr>
      </w:pPr>
      <w:r w:rsidRPr="004B70D2">
        <w:rPr>
          <w:rFonts w:asciiTheme="minorHAnsi" w:hAnsiTheme="minorHAnsi" w:cstheme="minorHAnsi"/>
          <w:sz w:val="24"/>
          <w:szCs w:val="24"/>
        </w:rPr>
        <w:t>This guidance refers to public health exclusions to indicate the time period an individual should not attend a setting to reduce the risk of transmission during the infectious stage. This is different to ‘exclusion’ as used in an educational sense.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386"/>
        <w:gridCol w:w="5750"/>
      </w:tblGrid>
      <w:tr w:rsidR="004B70D2" w:rsidRPr="004B70D2" w:rsidTr="00CF6DA2">
        <w:trPr>
          <w:tblHeader/>
          <w:tblCellSpacing w:w="15" w:type="dxa"/>
        </w:trPr>
        <w:tc>
          <w:tcPr>
            <w:tcW w:w="0" w:type="auto"/>
            <w:vAlign w:val="center"/>
            <w:hideMark/>
          </w:tcPr>
          <w:p w:rsidR="004B70D2" w:rsidRPr="004B70D2" w:rsidRDefault="004B70D2" w:rsidP="00CF6DA2">
            <w:pPr>
              <w:jc w:val="center"/>
              <w:rPr>
                <w:rFonts w:asciiTheme="minorHAnsi" w:hAnsiTheme="minorHAnsi" w:cstheme="minorHAnsi"/>
                <w:b/>
                <w:bCs/>
              </w:rPr>
            </w:pPr>
            <w:r w:rsidRPr="004B70D2">
              <w:rPr>
                <w:rFonts w:asciiTheme="minorHAnsi" w:hAnsiTheme="minorHAnsi" w:cstheme="minorHAnsi"/>
                <w:b/>
                <w:bCs/>
              </w:rPr>
              <w:t>Infection</w:t>
            </w:r>
          </w:p>
        </w:tc>
        <w:tc>
          <w:tcPr>
            <w:tcW w:w="0" w:type="auto"/>
            <w:vAlign w:val="center"/>
            <w:hideMark/>
          </w:tcPr>
          <w:p w:rsidR="004B70D2" w:rsidRPr="004B70D2" w:rsidRDefault="004B70D2" w:rsidP="00CF6DA2">
            <w:pPr>
              <w:jc w:val="center"/>
              <w:rPr>
                <w:rFonts w:asciiTheme="minorHAnsi" w:hAnsiTheme="minorHAnsi" w:cstheme="minorHAnsi"/>
                <w:b/>
                <w:bCs/>
              </w:rPr>
            </w:pPr>
            <w:r w:rsidRPr="004B70D2">
              <w:rPr>
                <w:rFonts w:asciiTheme="minorHAnsi" w:hAnsiTheme="minorHAnsi" w:cstheme="minorHAnsi"/>
                <w:b/>
                <w:bCs/>
              </w:rPr>
              <w:t>Exclusion period</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Athlete’s foot</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None</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Chickenpox</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At least 5 days from onset of rash and</w:t>
            </w:r>
            <w:r>
              <w:rPr>
                <w:rFonts w:asciiTheme="minorHAnsi" w:hAnsiTheme="minorHAnsi" w:cstheme="minorHAnsi"/>
              </w:rPr>
              <w:t>/or</w:t>
            </w:r>
            <w:r w:rsidRPr="004B70D2">
              <w:rPr>
                <w:rFonts w:asciiTheme="minorHAnsi" w:hAnsiTheme="minorHAnsi" w:cstheme="minorHAnsi"/>
              </w:rPr>
              <w:t xml:space="preserve"> until all blisters have crusted over.</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Cold sores (herpes simplex)</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None, unless the sore is weeping and the child is unable to avoid touching it</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Conjunctivitis</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Until eye drops are issued by GP or pharmacy and used for at least 24 hours, especially with under 24 ms olds</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Respiratory infections including coronavirus (COVID-19)</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Individuals should not attend if they have a high temperature and are unwell.</w:t>
            </w:r>
            <w:r w:rsidRPr="004B70D2">
              <w:rPr>
                <w:rFonts w:asciiTheme="minorHAnsi" w:hAnsiTheme="minorHAnsi" w:cstheme="minorHAnsi"/>
              </w:rPr>
              <w:br/>
            </w:r>
            <w:r w:rsidRPr="004B70D2">
              <w:rPr>
                <w:rFonts w:asciiTheme="minorHAnsi" w:hAnsiTheme="minorHAnsi" w:cstheme="minorHAnsi"/>
              </w:rPr>
              <w:br/>
              <w:t>Individuals who have a positive test result for COVID-19 should not attend the setting for 3 days after the day of the test.</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Diarrhoea and vomiting</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Individuals can return 48 hours after diarrhoea and vomiting have stopped.</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Diptheria*</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Exclusion is essential.</w:t>
            </w:r>
            <w:r w:rsidRPr="004B70D2">
              <w:rPr>
                <w:rFonts w:asciiTheme="minorHAnsi" w:hAnsiTheme="minorHAnsi" w:cstheme="minorHAnsi"/>
              </w:rPr>
              <w:br/>
            </w:r>
            <w:r w:rsidRPr="004B70D2">
              <w:rPr>
                <w:rFonts w:asciiTheme="minorHAnsi" w:hAnsiTheme="minorHAnsi" w:cstheme="minorHAnsi"/>
              </w:rPr>
              <w:br/>
              <w:t xml:space="preserve">Always contact your </w:t>
            </w:r>
            <w:hyperlink r:id="rId10" w:history="1">
              <w:r w:rsidRPr="004B70D2">
                <w:rPr>
                  <w:rStyle w:val="Hyperlink"/>
                  <w:rFonts w:asciiTheme="minorHAnsi" w:hAnsiTheme="minorHAnsi" w:cstheme="minorHAnsi"/>
                </w:rPr>
                <w:t>local UKHSA health protection team</w:t>
              </w:r>
            </w:hyperlink>
            <w:r w:rsidRPr="004B70D2">
              <w:rPr>
                <w:rFonts w:asciiTheme="minorHAnsi" w:hAnsiTheme="minorHAnsi" w:cstheme="minorHAnsi"/>
              </w:rPr>
              <w:t>.</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Flu (influenza) or influenza like illness</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Until recovered</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Glandular fever</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Depending on the child’s wellbeing, if unwell, stay home</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Hand foot and mouth</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At least 5 days from initial symptoms, or until all spots are crusted over</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Head lice</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None, but treatment is required to be done by parents at home to avoid spreading</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Hepititis A</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Exclude until 7 days after onset of jaundice (or 7 days after symptom onset if no jaundice).</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Hepatitis B</w:t>
            </w:r>
            <w:r w:rsidRPr="004B70D2">
              <w:rPr>
                <w:rStyle w:val="Emphasis"/>
                <w:rFonts w:asciiTheme="minorHAnsi" w:hAnsiTheme="minorHAnsi" w:cstheme="minorHAnsi"/>
              </w:rPr>
              <w:t>, C</w:t>
            </w:r>
            <w:r w:rsidRPr="004B70D2">
              <w:rPr>
                <w:rFonts w:asciiTheme="minorHAnsi" w:hAnsiTheme="minorHAnsi" w:cstheme="minorHAnsi"/>
              </w:rPr>
              <w:t>, HIV</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None, but nursery need to be made aware</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Impetigo</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Until lesions are crusted or healed, or 48 hours after starting antibiotic treatment.</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Measles</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5 days from onset of rash and should be well enough.</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lastRenderedPageBreak/>
              <w:t>Meningococcal meningitis* or septicaemia*</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Until recovered</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Meningitis* due to other bacteria</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Until recovered</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Meningitis viral</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Until recovered</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Mpox</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 xml:space="preserve">Until confirmed safe to return by their clinician or in line with </w:t>
            </w:r>
            <w:hyperlink r:id="rId11" w:history="1">
              <w:r w:rsidRPr="004B70D2">
                <w:rPr>
                  <w:rStyle w:val="Hyperlink"/>
                  <w:rFonts w:asciiTheme="minorHAnsi" w:hAnsiTheme="minorHAnsi" w:cstheme="minorHAnsi"/>
                </w:rPr>
                <w:t>any current guidance.</w:t>
              </w:r>
            </w:hyperlink>
            <w:r w:rsidRPr="004B70D2">
              <w:rPr>
                <w:rFonts w:asciiTheme="minorHAnsi" w:hAnsiTheme="minorHAnsi" w:cstheme="minorHAnsi"/>
              </w:rPr>
              <w:t xml:space="preserve"> </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MRSA</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Nursery need to be made aware, up to manager’s discretion</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Mumps*</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5 days after onset of swelling and only if well enough</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Ringworm</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Not usually required</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Rubella* (German measles)</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5 days from onset of rash and only if all spots are crusted over</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Scabies</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Until 24 hours after the first dose of chosen treatment.</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Scarlet fever*</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Exclude until 24 hours after starting antibiotic treatment and only if well enough</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Slapped cheek/Fifth disease/Parvovirus B19</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None (once rash has developed), only if well enough</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Threadworms</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None</w:t>
            </w:r>
            <w:r>
              <w:rPr>
                <w:rFonts w:asciiTheme="minorHAnsi" w:hAnsiTheme="minorHAnsi" w:cstheme="minorHAnsi"/>
              </w:rPr>
              <w:t>, but not</w:t>
            </w:r>
            <w:r w:rsidRPr="004B70D2">
              <w:rPr>
                <w:rFonts w:asciiTheme="minorHAnsi" w:hAnsiTheme="minorHAnsi" w:cstheme="minorHAnsi"/>
              </w:rPr>
              <w:t>ify nursery</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Tonsillitis</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If antibiotics issued, then at least 24 hours after first dose been given, and only if well enough</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Tuberculosis* (TB)</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Until at least 2 weeks after the start of effective antibiotic treatment (if pulmonary TB.</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Warts and verrucae</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None, but appropriate treatment need to be administered and affected body parts should remain covered at all times.</w:t>
            </w:r>
          </w:p>
        </w:tc>
      </w:tr>
      <w:tr w:rsidR="004B70D2" w:rsidRPr="004B70D2" w:rsidTr="00CF6DA2">
        <w:trPr>
          <w:tblCellSpacing w:w="15" w:type="dxa"/>
        </w:trPr>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Whooping cough (pertussis)*</w:t>
            </w:r>
          </w:p>
        </w:tc>
        <w:tc>
          <w:tcPr>
            <w:tcW w:w="0" w:type="auto"/>
            <w:vAlign w:val="center"/>
            <w:hideMark/>
          </w:tcPr>
          <w:p w:rsidR="004B70D2" w:rsidRPr="004B70D2" w:rsidRDefault="004B70D2" w:rsidP="00CF6DA2">
            <w:pPr>
              <w:rPr>
                <w:rFonts w:asciiTheme="minorHAnsi" w:hAnsiTheme="minorHAnsi" w:cstheme="minorHAnsi"/>
              </w:rPr>
            </w:pPr>
            <w:r w:rsidRPr="004B70D2">
              <w:rPr>
                <w:rFonts w:asciiTheme="minorHAnsi" w:hAnsiTheme="minorHAnsi" w:cstheme="minorHAnsi"/>
              </w:rPr>
              <w:t>2 days from starting antibiotic treatment, or 14 days from onset of coughing if no antibiotics and feel well enough to return.</w:t>
            </w:r>
          </w:p>
        </w:tc>
      </w:tr>
    </w:tbl>
    <w:p w:rsidR="004B70D2" w:rsidRPr="004B70D2" w:rsidRDefault="004B70D2" w:rsidP="004B70D2">
      <w:pPr>
        <w:ind w:left="720"/>
        <w:jc w:val="both"/>
        <w:rPr>
          <w:rFonts w:asciiTheme="minorHAnsi" w:hAnsiTheme="minorHAnsi" w:cstheme="minorHAnsi"/>
        </w:rPr>
      </w:pPr>
    </w:p>
    <w:p w:rsidR="004B70D2" w:rsidRPr="008D331B" w:rsidRDefault="004B70D2" w:rsidP="004B70D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651385" w:rsidRPr="008D331B" w:rsidTr="007D03DF">
        <w:trPr>
          <w:jc w:val="center"/>
        </w:trPr>
        <w:tc>
          <w:tcPr>
            <w:tcW w:w="2943" w:type="dxa"/>
            <w:tcBorders>
              <w:top w:val="single" w:sz="4" w:space="0" w:color="000000"/>
            </w:tcBorders>
            <w:vAlign w:val="center"/>
          </w:tcPr>
          <w:p w:rsidR="00651385" w:rsidRPr="008D331B" w:rsidRDefault="00651385"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651385" w:rsidRPr="008D331B" w:rsidRDefault="00651385"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651385" w:rsidRPr="008D331B" w:rsidRDefault="00651385" w:rsidP="007D03DF">
            <w:pPr>
              <w:jc w:val="both"/>
              <w:rPr>
                <w:rFonts w:ascii="Calibri" w:eastAsia="Calibri" w:hAnsi="Calibri" w:cs="Calibri"/>
              </w:rPr>
            </w:pPr>
            <w:r w:rsidRPr="008D331B">
              <w:rPr>
                <w:rFonts w:ascii="Calibri" w:eastAsia="Arial" w:hAnsi="Calibri" w:cs="Calibri"/>
                <w:b/>
                <w:sz w:val="20"/>
                <w:szCs w:val="20"/>
              </w:rPr>
              <w:t>Date for review</w:t>
            </w:r>
          </w:p>
        </w:tc>
      </w:tr>
      <w:tr w:rsidR="00651385" w:rsidRPr="008D331B" w:rsidTr="007D03DF">
        <w:trPr>
          <w:jc w:val="center"/>
        </w:trPr>
        <w:tc>
          <w:tcPr>
            <w:tcW w:w="2943" w:type="dxa"/>
            <w:vAlign w:val="center"/>
          </w:tcPr>
          <w:p w:rsidR="00651385" w:rsidRPr="008D331B" w:rsidRDefault="00B27626" w:rsidP="007D03DF">
            <w:pPr>
              <w:jc w:val="both"/>
              <w:rPr>
                <w:rFonts w:ascii="Calibri" w:eastAsia="Calibri" w:hAnsi="Calibri" w:cs="Calibri"/>
              </w:rPr>
            </w:pPr>
            <w:r>
              <w:rPr>
                <w:rFonts w:ascii="Calibri" w:eastAsia="Calibri" w:hAnsi="Calibri" w:cs="Calibri"/>
              </w:rPr>
              <w:t>15/04/2026</w:t>
            </w:r>
          </w:p>
        </w:tc>
        <w:tc>
          <w:tcPr>
            <w:tcW w:w="3408" w:type="dxa"/>
          </w:tcPr>
          <w:p w:rsidR="00651385" w:rsidRPr="008D331B" w:rsidRDefault="00651385" w:rsidP="007D03DF">
            <w:pPr>
              <w:jc w:val="both"/>
              <w:rPr>
                <w:rFonts w:ascii="Calibri" w:eastAsia="Calibri" w:hAnsi="Calibri" w:cs="Calibri"/>
              </w:rPr>
            </w:pPr>
          </w:p>
        </w:tc>
        <w:tc>
          <w:tcPr>
            <w:tcW w:w="2754" w:type="dxa"/>
          </w:tcPr>
          <w:p w:rsidR="00651385" w:rsidRPr="008D331B" w:rsidRDefault="00651385" w:rsidP="007D03DF">
            <w:pPr>
              <w:jc w:val="both"/>
              <w:rPr>
                <w:rFonts w:ascii="Calibri" w:eastAsia="Calibri" w:hAnsi="Calibri" w:cs="Calibri"/>
              </w:rPr>
            </w:pPr>
          </w:p>
        </w:tc>
      </w:tr>
    </w:tbl>
    <w:p w:rsidR="00651385" w:rsidRPr="008D331B" w:rsidRDefault="00651385" w:rsidP="00651385">
      <w:pPr>
        <w:jc w:val="both"/>
        <w:rPr>
          <w:rFonts w:ascii="Calibri" w:hAnsi="Calibri" w:cs="Calibri"/>
        </w:rPr>
      </w:pPr>
    </w:p>
    <w:bookmarkEnd w:id="1"/>
    <w:p w:rsidR="00651385" w:rsidRPr="008D331B" w:rsidRDefault="00651385" w:rsidP="00651385">
      <w:pPr>
        <w:jc w:val="both"/>
        <w:rPr>
          <w:rFonts w:ascii="Calibri" w:eastAsia="Calibri" w:hAnsi="Calibri" w:cs="Calibri"/>
          <w:szCs w:val="22"/>
        </w:rPr>
      </w:pPr>
    </w:p>
    <w:p w:rsidR="00651385" w:rsidRPr="008D331B" w:rsidRDefault="00651385" w:rsidP="00651385">
      <w:pPr>
        <w:jc w:val="both"/>
        <w:rPr>
          <w:rFonts w:ascii="Calibri" w:eastAsia="Calibri" w:hAnsi="Calibri" w:cs="Calibri"/>
          <w:szCs w:val="22"/>
        </w:rPr>
      </w:pPr>
    </w:p>
    <w:p w:rsidR="002E2EA5" w:rsidRPr="000F24E0" w:rsidRDefault="002E2EA5" w:rsidP="00C128FC">
      <w:pPr>
        <w:rPr>
          <w:sz w:val="2"/>
          <w:szCs w:val="2"/>
          <w:lang w:val="en-US"/>
        </w:rPr>
      </w:pPr>
    </w:p>
    <w:sectPr w:rsidR="002E2EA5" w:rsidRPr="000F24E0" w:rsidSect="00C9123F">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062B" w:rsidRDefault="0061062B" w:rsidP="007A3117">
      <w:r>
        <w:separator/>
      </w:r>
    </w:p>
  </w:endnote>
  <w:endnote w:type="continuationSeparator" w:id="1">
    <w:p w:rsidR="0061062B" w:rsidRDefault="0061062B"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4024DD">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B27626">
          <w:rPr>
            <w:rFonts w:asciiTheme="minorHAnsi" w:hAnsiTheme="minorHAnsi" w:cstheme="minorHAnsi"/>
            <w:noProof/>
          </w:rPr>
          <w:t>4</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062B" w:rsidRDefault="0061062B" w:rsidP="007A3117">
      <w:r>
        <w:separator/>
      </w:r>
    </w:p>
  </w:footnote>
  <w:footnote w:type="continuationSeparator" w:id="1">
    <w:p w:rsidR="0061062B" w:rsidRDefault="0061062B" w:rsidP="007A3117">
      <w:r>
        <w:continuationSeparator/>
      </w:r>
    </w:p>
  </w:footnote>
  <w:footnote w:id="2">
    <w:p w:rsidR="00651385" w:rsidRPr="008D331B" w:rsidRDefault="00651385" w:rsidP="00651385">
      <w:pPr>
        <w:pStyle w:val="FootnoteText"/>
      </w:pPr>
      <w:r w:rsidRPr="008D331B">
        <w:rPr>
          <w:rStyle w:val="FootnoteReference"/>
        </w:rPr>
        <w:footnoteRef/>
      </w:r>
      <w:hyperlink r:id="rId1" w:history="1">
        <w:r w:rsidRPr="008D331B">
          <w:rPr>
            <w:rStyle w:val="Hyperlink"/>
            <w:rFonts w:asciiTheme="minorHAnsi" w:hAnsiTheme="minorHAnsi" w:cstheme="minorHAnsi"/>
          </w:rPr>
          <w:t>https://www.gov.uk/government/publications/health-protection-in-schools-and-other-childcare-facilities</w:t>
        </w:r>
      </w:hyperlink>
    </w:p>
    <w:p w:rsidR="00651385" w:rsidRPr="008D331B" w:rsidRDefault="00651385" w:rsidP="00651385">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1A" w:rsidRDefault="00EC7A1A">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EC7A1A" w:rsidTr="00E23407">
      <w:trPr>
        <w:jc w:val="center"/>
      </w:trPr>
      <w:tc>
        <w:tcPr>
          <w:tcW w:w="5080" w:type="dxa"/>
          <w:vAlign w:val="center"/>
        </w:tcPr>
        <w:p w:rsidR="00EC7A1A" w:rsidRDefault="00EC7A1A" w:rsidP="00E23407">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EC7A1A" w:rsidRDefault="00EC7A1A" w:rsidP="00E23407">
          <w:pPr>
            <w:pStyle w:val="Header"/>
            <w:rPr>
              <w:rFonts w:asciiTheme="majorHAnsi" w:hAnsiTheme="majorHAnsi"/>
              <w:b/>
              <w:sz w:val="16"/>
              <w:szCs w:val="16"/>
            </w:rPr>
          </w:pPr>
        </w:p>
      </w:tc>
      <w:tc>
        <w:tcPr>
          <w:tcW w:w="4622" w:type="dxa"/>
          <w:hideMark/>
        </w:tcPr>
        <w:p w:rsidR="00EC7A1A" w:rsidRDefault="00EC7A1A" w:rsidP="00E23407">
          <w:pPr>
            <w:pStyle w:val="Header"/>
            <w:jc w:val="right"/>
            <w:rPr>
              <w:rFonts w:asciiTheme="majorHAnsi" w:hAnsiTheme="majorHAnsi"/>
              <w:b/>
              <w:sz w:val="16"/>
              <w:szCs w:val="16"/>
            </w:rPr>
          </w:pPr>
          <w:r>
            <w:rPr>
              <w:rFonts w:asciiTheme="majorHAnsi" w:hAnsiTheme="majorHAnsi"/>
              <w:b/>
              <w:sz w:val="16"/>
              <w:szCs w:val="16"/>
            </w:rPr>
            <w:t>Fun Box Day Nursery Ltd</w:t>
          </w:r>
        </w:p>
        <w:p w:rsidR="00EC7A1A" w:rsidRDefault="004024DD" w:rsidP="00E23407">
          <w:pPr>
            <w:pStyle w:val="Header"/>
            <w:jc w:val="right"/>
            <w:rPr>
              <w:rFonts w:asciiTheme="majorHAnsi" w:hAnsiTheme="majorHAnsi"/>
              <w:b/>
              <w:sz w:val="16"/>
              <w:szCs w:val="16"/>
            </w:rPr>
          </w:pPr>
          <w:hyperlink r:id="rId2" w:history="1">
            <w:r w:rsidR="00EC7A1A">
              <w:rPr>
                <w:rStyle w:val="Hyperlink"/>
                <w:rFonts w:asciiTheme="majorHAnsi" w:hAnsiTheme="majorHAnsi"/>
                <w:b/>
                <w:sz w:val="16"/>
                <w:szCs w:val="16"/>
              </w:rPr>
              <w:t>www.funboxdaynursery.co.uk</w:t>
            </w:r>
          </w:hyperlink>
        </w:p>
        <w:p w:rsidR="00EC7A1A" w:rsidRDefault="00EC7A1A" w:rsidP="00E23407">
          <w:pPr>
            <w:pStyle w:val="Header"/>
            <w:jc w:val="right"/>
            <w:rPr>
              <w:rFonts w:asciiTheme="majorHAnsi" w:hAnsiTheme="majorHAnsi"/>
              <w:b/>
              <w:sz w:val="16"/>
              <w:szCs w:val="16"/>
            </w:rPr>
          </w:pPr>
          <w:r>
            <w:rPr>
              <w:rFonts w:asciiTheme="majorHAnsi" w:hAnsiTheme="majorHAnsi"/>
              <w:b/>
              <w:sz w:val="16"/>
              <w:szCs w:val="16"/>
            </w:rPr>
            <w:t>Totton Christian Centre</w:t>
          </w:r>
        </w:p>
        <w:p w:rsidR="00EC7A1A" w:rsidRDefault="00EC7A1A" w:rsidP="00E23407">
          <w:pPr>
            <w:pStyle w:val="Header"/>
            <w:jc w:val="right"/>
            <w:rPr>
              <w:rFonts w:asciiTheme="majorHAnsi" w:hAnsiTheme="majorHAnsi"/>
              <w:b/>
              <w:sz w:val="16"/>
              <w:szCs w:val="16"/>
            </w:rPr>
          </w:pPr>
          <w:r>
            <w:rPr>
              <w:rFonts w:asciiTheme="majorHAnsi" w:hAnsiTheme="majorHAnsi"/>
              <w:b/>
              <w:sz w:val="16"/>
              <w:szCs w:val="16"/>
            </w:rPr>
            <w:t>9 Ringwood Road</w:t>
          </w:r>
        </w:p>
        <w:p w:rsidR="00EC7A1A" w:rsidRDefault="00EC7A1A" w:rsidP="00E23407">
          <w:pPr>
            <w:pStyle w:val="Header"/>
            <w:jc w:val="right"/>
            <w:rPr>
              <w:rFonts w:asciiTheme="majorHAnsi" w:hAnsiTheme="majorHAnsi"/>
              <w:b/>
              <w:sz w:val="16"/>
              <w:szCs w:val="16"/>
            </w:rPr>
          </w:pPr>
          <w:r>
            <w:rPr>
              <w:rFonts w:asciiTheme="majorHAnsi" w:hAnsiTheme="majorHAnsi"/>
              <w:b/>
              <w:sz w:val="16"/>
              <w:szCs w:val="16"/>
            </w:rPr>
            <w:t>Totton</w:t>
          </w:r>
        </w:p>
        <w:p w:rsidR="00EC7A1A" w:rsidRDefault="00EC7A1A" w:rsidP="00E23407">
          <w:pPr>
            <w:pStyle w:val="Header"/>
            <w:jc w:val="right"/>
            <w:rPr>
              <w:rFonts w:asciiTheme="majorHAnsi" w:hAnsiTheme="majorHAnsi"/>
              <w:b/>
              <w:sz w:val="16"/>
              <w:szCs w:val="16"/>
            </w:rPr>
          </w:pPr>
          <w:r>
            <w:rPr>
              <w:rFonts w:asciiTheme="majorHAnsi" w:hAnsiTheme="majorHAnsi"/>
              <w:b/>
              <w:sz w:val="16"/>
              <w:szCs w:val="16"/>
            </w:rPr>
            <w:t>SO40 8DA</w:t>
          </w:r>
        </w:p>
        <w:p w:rsidR="00EC7A1A" w:rsidRDefault="00EC7A1A" w:rsidP="00E23407">
          <w:pPr>
            <w:pStyle w:val="Header"/>
            <w:jc w:val="right"/>
            <w:rPr>
              <w:rFonts w:asciiTheme="majorHAnsi" w:hAnsiTheme="majorHAnsi"/>
              <w:b/>
              <w:sz w:val="16"/>
              <w:szCs w:val="16"/>
            </w:rPr>
          </w:pPr>
          <w:r>
            <w:rPr>
              <w:rFonts w:asciiTheme="majorHAnsi" w:hAnsiTheme="majorHAnsi"/>
              <w:b/>
              <w:sz w:val="16"/>
              <w:szCs w:val="16"/>
            </w:rPr>
            <w:t>Tel: 02380 861166</w:t>
          </w:r>
        </w:p>
        <w:p w:rsidR="00EC7A1A" w:rsidRDefault="00EC7A1A" w:rsidP="00E23407">
          <w:pPr>
            <w:pStyle w:val="Header"/>
            <w:jc w:val="right"/>
            <w:rPr>
              <w:rFonts w:asciiTheme="majorHAnsi" w:hAnsiTheme="majorHAnsi"/>
              <w:b/>
              <w:sz w:val="20"/>
              <w:szCs w:val="20"/>
            </w:rPr>
          </w:pPr>
          <w:r>
            <w:rPr>
              <w:rFonts w:asciiTheme="majorHAnsi" w:hAnsiTheme="majorHAnsi"/>
              <w:b/>
              <w:sz w:val="20"/>
              <w:szCs w:val="20"/>
            </w:rPr>
            <w:t>EY480297</w:t>
          </w:r>
        </w:p>
      </w:tc>
    </w:tr>
  </w:tbl>
  <w:p w:rsidR="00EC7A1A" w:rsidRDefault="00EC7A1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9"/>
  </w:num>
  <w:num w:numId="5">
    <w:abstractNumId w:val="6"/>
  </w:num>
  <w:num w:numId="6">
    <w:abstractNumId w:val="1"/>
  </w:num>
  <w:num w:numId="7">
    <w:abstractNumId w:val="10"/>
  </w:num>
  <w:num w:numId="8">
    <w:abstractNumId w:val="7"/>
  </w:num>
  <w:num w:numId="9">
    <w:abstractNumId w:val="11"/>
  </w:num>
  <w:num w:numId="10">
    <w:abstractNumId w:val="3"/>
  </w:num>
  <w:num w:numId="11">
    <w:abstractNumId w:val="4"/>
  </w:num>
  <w:num w:numId="12">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024DD"/>
    <w:rsid w:val="00465665"/>
    <w:rsid w:val="004A31F3"/>
    <w:rsid w:val="004B398A"/>
    <w:rsid w:val="004B4CC3"/>
    <w:rsid w:val="004B70D2"/>
    <w:rsid w:val="004C2485"/>
    <w:rsid w:val="004E19A2"/>
    <w:rsid w:val="004F1E56"/>
    <w:rsid w:val="00555D39"/>
    <w:rsid w:val="005D5D3B"/>
    <w:rsid w:val="00604E3E"/>
    <w:rsid w:val="0061062B"/>
    <w:rsid w:val="006208D0"/>
    <w:rsid w:val="00626A40"/>
    <w:rsid w:val="00636838"/>
    <w:rsid w:val="00651385"/>
    <w:rsid w:val="00660ED8"/>
    <w:rsid w:val="00700A28"/>
    <w:rsid w:val="00730F75"/>
    <w:rsid w:val="0077475C"/>
    <w:rsid w:val="0078206F"/>
    <w:rsid w:val="007A3117"/>
    <w:rsid w:val="00827029"/>
    <w:rsid w:val="009B30E1"/>
    <w:rsid w:val="009D6487"/>
    <w:rsid w:val="00AC36ED"/>
    <w:rsid w:val="00AE5785"/>
    <w:rsid w:val="00B27626"/>
    <w:rsid w:val="00C128FC"/>
    <w:rsid w:val="00C21D30"/>
    <w:rsid w:val="00C821B8"/>
    <w:rsid w:val="00C9123F"/>
    <w:rsid w:val="00CF1B0F"/>
    <w:rsid w:val="00DB04B4"/>
    <w:rsid w:val="00E20AD2"/>
    <w:rsid w:val="00E52AD1"/>
    <w:rsid w:val="00E52FC9"/>
    <w:rsid w:val="00E57C5A"/>
    <w:rsid w:val="00E914F8"/>
    <w:rsid w:val="00EC7A1A"/>
    <w:rsid w:val="00F14764"/>
    <w:rsid w:val="00F51897"/>
    <w:rsid w:val="00F91A8F"/>
    <w:rsid w:val="00FA3710"/>
    <w:rsid w:val="00FA3D2B"/>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collections/monkeypox-guidan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health-protection-te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3A0116FF-624F-4208-9462-603084BBA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1160</Words>
  <Characters>6617</Characters>
  <Application>Microsoft Office Word</Application>
  <DocSecurity>0</DocSecurity>
  <Lines>55</Lines>
  <Paragraphs>15</Paragraphs>
  <ScaleCrop>false</ScaleCrop>
  <Company/>
  <LinksUpToDate>false</LinksUpToDate>
  <CharactersWithSpaces>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6</cp:revision>
  <dcterms:created xsi:type="dcterms:W3CDTF">2026-01-29T16:01:00Z</dcterms:created>
  <dcterms:modified xsi:type="dcterms:W3CDTF">2026-04-15T07:40:00Z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